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EB" w:rsidRDefault="00861DEB">
      <w:pPr>
        <w:spacing w:line="580" w:lineRule="exact"/>
        <w:jc w:val="center"/>
        <w:rPr>
          <w:rFonts w:ascii="Times New Roman" w:eastAsia="方正仿宋_GBK" w:hAnsi="Times New Roman" w:cs="Times New Roman"/>
          <w:szCs w:val="32"/>
        </w:rPr>
      </w:pPr>
      <w:bookmarkStart w:id="0" w:name="_GoBack"/>
    </w:p>
    <w:p w:rsidR="00861DEB" w:rsidRDefault="00861DEB">
      <w:pPr>
        <w:spacing w:line="58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861DEB" w:rsidRDefault="00861DEB">
      <w:pPr>
        <w:spacing w:line="58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861DEB" w:rsidRDefault="00861DEB">
      <w:pPr>
        <w:spacing w:line="58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861DEB" w:rsidRDefault="00861DEB">
      <w:pPr>
        <w:spacing w:line="58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861DEB" w:rsidRDefault="00861DEB">
      <w:pPr>
        <w:spacing w:line="58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861DEB" w:rsidRDefault="003870B8">
      <w:pPr>
        <w:pStyle w:val="a7"/>
        <w:widowControl/>
        <w:spacing w:before="0" w:beforeAutospacing="0" w:after="0" w:afterAutospacing="0"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宿政办</w:t>
      </w:r>
      <w:r>
        <w:rPr>
          <w:rFonts w:ascii="Times New Roman" w:eastAsia="方正仿宋_GBK" w:hAnsi="Times New Roman" w:hint="eastAsia"/>
          <w:sz w:val="32"/>
          <w:szCs w:val="32"/>
        </w:rPr>
        <w:t>发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/>
          <w:sz w:val="32"/>
          <w:szCs w:val="32"/>
        </w:rPr>
        <w:t>号</w:t>
      </w:r>
    </w:p>
    <w:p w:rsidR="00861DEB" w:rsidRDefault="00861DEB">
      <w:pPr>
        <w:pStyle w:val="a7"/>
        <w:spacing w:before="0" w:beforeAutospacing="0" w:after="0" w:afterAutospacing="0" w:line="5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61DEB" w:rsidRDefault="00861DEB">
      <w:pPr>
        <w:pStyle w:val="a7"/>
        <w:spacing w:before="0" w:beforeAutospacing="0" w:after="0" w:afterAutospacing="0" w:line="5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61DEB" w:rsidRDefault="003870B8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小标宋_GBK" w:hAnsi="方正小标宋_GBK"/>
          <w:snapToGrid w:val="0"/>
          <w:sz w:val="44"/>
          <w:szCs w:val="44"/>
        </w:rPr>
      </w:pPr>
      <w:r>
        <w:rPr>
          <w:rFonts w:ascii="Times New Roman" w:eastAsia="方正小标宋_GBK" w:hAnsi="方正小标宋_GBK" w:hint="eastAsia"/>
          <w:snapToGrid w:val="0"/>
          <w:sz w:val="44"/>
          <w:szCs w:val="44"/>
        </w:rPr>
        <w:t>市政府办公室</w:t>
      </w:r>
      <w:r>
        <w:rPr>
          <w:rFonts w:ascii="Times New Roman" w:eastAsia="方正小标宋_GBK" w:hAnsi="方正小标宋_GBK"/>
          <w:snapToGrid w:val="0"/>
          <w:sz w:val="44"/>
          <w:szCs w:val="44"/>
        </w:rPr>
        <w:t>关于印发</w:t>
      </w:r>
    </w:p>
    <w:p w:rsidR="00861DEB" w:rsidRDefault="003870B8">
      <w:pPr>
        <w:pStyle w:val="a7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宿迁市重点产业链链主企业培育</w:t>
      </w:r>
    </w:p>
    <w:p w:rsidR="00861DEB" w:rsidRDefault="003870B8">
      <w:pPr>
        <w:pStyle w:val="a7"/>
        <w:spacing w:before="0" w:beforeAutospacing="0" w:after="0" w:afterAutospacing="0"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三年行动计划（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—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年）的通知</w:t>
      </w:r>
    </w:p>
    <w:p w:rsidR="00861DEB" w:rsidRDefault="00861DEB">
      <w:pPr>
        <w:pStyle w:val="a7"/>
        <w:spacing w:before="0" w:beforeAutospacing="0" w:after="0" w:afterAutospacing="0" w:line="52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61DEB" w:rsidRDefault="003870B8">
      <w:pPr>
        <w:pStyle w:val="a7"/>
        <w:spacing w:before="0" w:beforeAutospacing="0" w:after="0" w:afterAutospacing="0" w:line="53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各县、区人民政府，市各开发区、新区、园区管委会，市各有关部门和单位：</w:t>
      </w:r>
    </w:p>
    <w:p w:rsidR="00861DEB" w:rsidRDefault="003870B8">
      <w:pPr>
        <w:pStyle w:val="a7"/>
        <w:spacing w:before="0" w:beforeAutospacing="0" w:after="0" w:afterAutospacing="0" w:line="53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《宿迁市重点产业链链主企业培育三年行动计划（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年）》已经市政府常务会议审议通过，现印发给你们，请结合实际认真贯彻落实。</w:t>
      </w:r>
    </w:p>
    <w:p w:rsidR="00861DEB" w:rsidRDefault="00861DEB">
      <w:pPr>
        <w:pStyle w:val="a7"/>
        <w:spacing w:before="0" w:beforeAutospacing="0" w:after="0" w:afterAutospacing="0" w:line="500" w:lineRule="exact"/>
        <w:ind w:firstLineChars="200" w:firstLine="620"/>
        <w:rPr>
          <w:rFonts w:ascii="方正仿宋_GBK" w:eastAsia="方正仿宋_GBK" w:hAnsi="方正仿宋_GBK" w:cs="方正仿宋_GBK"/>
          <w:w w:val="97"/>
          <w:sz w:val="32"/>
          <w:szCs w:val="32"/>
        </w:rPr>
      </w:pPr>
    </w:p>
    <w:p w:rsidR="00861DEB" w:rsidRDefault="00861DEB">
      <w:pPr>
        <w:pStyle w:val="a7"/>
        <w:spacing w:before="0" w:beforeAutospacing="0" w:after="0" w:afterAutospacing="0" w:line="500" w:lineRule="exact"/>
        <w:ind w:firstLineChars="200" w:firstLine="620"/>
        <w:rPr>
          <w:rFonts w:ascii="方正仿宋_GBK" w:eastAsia="方正仿宋_GBK" w:hAnsi="方正仿宋_GBK" w:cs="方正仿宋_GBK"/>
          <w:w w:val="97"/>
          <w:sz w:val="32"/>
          <w:szCs w:val="32"/>
        </w:rPr>
      </w:pPr>
    </w:p>
    <w:p w:rsidR="00861DEB" w:rsidRDefault="00861DEB">
      <w:pPr>
        <w:pStyle w:val="a7"/>
        <w:spacing w:before="0" w:beforeAutospacing="0" w:after="0" w:afterAutospacing="0" w:line="500" w:lineRule="exact"/>
        <w:ind w:firstLineChars="200" w:firstLine="620"/>
        <w:rPr>
          <w:rFonts w:ascii="方正仿宋_GBK" w:eastAsia="方正仿宋_GBK" w:hAnsi="方正仿宋_GBK" w:cs="方正仿宋_GBK"/>
          <w:w w:val="97"/>
          <w:sz w:val="32"/>
          <w:szCs w:val="32"/>
        </w:rPr>
      </w:pPr>
    </w:p>
    <w:p w:rsidR="00861DEB" w:rsidRDefault="003870B8">
      <w:pPr>
        <w:pStyle w:val="a7"/>
        <w:spacing w:before="0" w:beforeAutospacing="0" w:after="0" w:afterAutospacing="0" w:line="500" w:lineRule="exact"/>
        <w:ind w:firstLineChars="1400" w:firstLine="4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宿迁市人民政府办公室</w:t>
      </w:r>
    </w:p>
    <w:p w:rsidR="00861DEB" w:rsidRDefault="003870B8">
      <w:pPr>
        <w:pStyle w:val="a7"/>
        <w:spacing w:before="0" w:beforeAutospacing="0" w:after="0" w:afterAutospacing="0" w:line="500" w:lineRule="exact"/>
        <w:ind w:firstLineChars="1512" w:firstLine="483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861DEB" w:rsidRDefault="003870B8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（此件公开发布）</w:t>
      </w:r>
    </w:p>
    <w:p w:rsidR="00861DEB" w:rsidRDefault="00861DEB">
      <w:pPr>
        <w:pStyle w:val="a7"/>
        <w:spacing w:before="0" w:beforeAutospacing="0" w:after="0" w:afterAutospacing="0" w:line="480" w:lineRule="exact"/>
        <w:jc w:val="both"/>
        <w:rPr>
          <w:rFonts w:ascii="方正仿宋_GBK" w:eastAsia="方正仿宋_GBK" w:hAnsi="方正仿宋_GBK" w:cs="方正仿宋_GBK"/>
          <w:sz w:val="44"/>
          <w:szCs w:val="44"/>
        </w:rPr>
        <w:sectPr w:rsidR="00861DEB">
          <w:footerReference w:type="default" r:id="rId8"/>
          <w:pgSz w:w="11906" w:h="16838"/>
          <w:pgMar w:top="2098" w:right="1531" w:bottom="1928" w:left="1531" w:header="851" w:footer="1474" w:gutter="0"/>
          <w:cols w:space="0"/>
          <w:docGrid w:type="lines" w:linePitch="312"/>
        </w:sectPr>
      </w:pPr>
    </w:p>
    <w:p w:rsidR="00861DEB" w:rsidRDefault="00861DEB">
      <w:pPr>
        <w:pStyle w:val="a7"/>
        <w:spacing w:before="0" w:beforeAutospacing="0" w:after="0" w:afterAutospacing="0"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861DEB" w:rsidRDefault="003870B8">
      <w:pPr>
        <w:pStyle w:val="a7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宿迁</w:t>
      </w:r>
      <w:r>
        <w:rPr>
          <w:rFonts w:ascii="Times New Roman" w:eastAsia="方正小标宋_GBK" w:hAnsi="Times New Roman"/>
          <w:sz w:val="44"/>
          <w:szCs w:val="44"/>
        </w:rPr>
        <w:t>市</w:t>
      </w:r>
      <w:r>
        <w:rPr>
          <w:rFonts w:ascii="Times New Roman" w:eastAsia="方正小标宋_GBK" w:hAnsi="Times New Roman"/>
          <w:sz w:val="44"/>
          <w:szCs w:val="44"/>
        </w:rPr>
        <w:t>重点产业链链主</w:t>
      </w:r>
      <w:r>
        <w:rPr>
          <w:rFonts w:ascii="Times New Roman" w:eastAsia="方正小标宋_GBK" w:hAnsi="Times New Roman"/>
          <w:sz w:val="44"/>
          <w:szCs w:val="44"/>
        </w:rPr>
        <w:t>企业培育三年</w:t>
      </w:r>
    </w:p>
    <w:p w:rsidR="00861DEB" w:rsidRDefault="003870B8">
      <w:pPr>
        <w:pStyle w:val="a7"/>
        <w:spacing w:before="0" w:beforeAutospacing="0" w:after="0" w:afterAutospacing="0"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行动计划（</w:t>
      </w: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/>
          <w:sz w:val="44"/>
          <w:szCs w:val="44"/>
        </w:rPr>
        <w:t>2</w:t>
      </w:r>
      <w:r>
        <w:rPr>
          <w:rFonts w:ascii="Times New Roman" w:eastAsia="方正小标宋_GBK" w:hAnsi="Times New Roman" w:hint="eastAsia"/>
          <w:sz w:val="44"/>
          <w:szCs w:val="44"/>
        </w:rPr>
        <w:t>-</w:t>
      </w: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/>
          <w:sz w:val="44"/>
          <w:szCs w:val="44"/>
        </w:rPr>
        <w:t>4</w:t>
      </w:r>
      <w:r>
        <w:rPr>
          <w:rFonts w:ascii="Times New Roman" w:eastAsia="方正小标宋_GBK" w:hAnsi="Times New Roman"/>
          <w:sz w:val="44"/>
          <w:szCs w:val="44"/>
        </w:rPr>
        <w:t>年）</w:t>
      </w:r>
    </w:p>
    <w:p w:rsidR="00861DEB" w:rsidRDefault="00861DEB">
      <w:pPr>
        <w:pStyle w:val="a7"/>
        <w:spacing w:before="0" w:beforeAutospacing="0" w:after="0" w:afterAutospacing="0" w:line="560" w:lineRule="exact"/>
        <w:ind w:firstLine="645"/>
        <w:rPr>
          <w:rFonts w:ascii="Times New Roman" w:eastAsia="方正仿宋_GBK" w:hAnsi="Times New Roman"/>
          <w:sz w:val="32"/>
          <w:szCs w:val="32"/>
        </w:rPr>
      </w:pPr>
    </w:p>
    <w:p w:rsidR="00861DEB" w:rsidRDefault="003870B8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为深入贯彻落实市委、市政府《关于加快重点产业链培育推动产业集群集聚发展的意见》（宿发〔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2020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〕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18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号）和市委六届二次全会等精神，加快培育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20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条重点产业链，打造一批具有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lang w:bidi="ar"/>
        </w:rPr>
        <w:t>行业引领性</w:t>
      </w:r>
      <w:r>
        <w:rPr>
          <w:rFonts w:ascii="Times New Roman" w:eastAsia="方正仿宋_GBK" w:hAnsi="Times New Roman" w:cs="Times New Roman"/>
          <w:kern w:val="0"/>
          <w:sz w:val="32"/>
          <w:szCs w:val="32"/>
          <w:lang w:bidi="ar"/>
        </w:rPr>
        <w:t>的链主企业，特制定本行动计划。</w:t>
      </w:r>
    </w:p>
    <w:p w:rsidR="00861DEB" w:rsidRDefault="003870B8">
      <w:pPr>
        <w:pStyle w:val="a7"/>
        <w:spacing w:before="0" w:beforeAutospacing="0" w:after="0" w:afterAutospacing="0" w:line="580" w:lineRule="exact"/>
        <w:ind w:firstLine="64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一、指导思想</w:t>
      </w:r>
    </w:p>
    <w:p w:rsidR="00861DEB" w:rsidRDefault="003870B8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围绕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lang w:bidi="ar"/>
        </w:rPr>
        <w:t>条重点产业链，聚力招大引强、培大育强，充分发挥链主企业在产业链培育中的示范带动作用，聚力推进强链补链延链，实现壮大一批、培育一批、招引一批，加快构建链主企业顶天立地的发展格局，为加快工业经济高质量发展奠定坚实基础。</w:t>
      </w:r>
    </w:p>
    <w:p w:rsidR="00861DEB" w:rsidRDefault="003870B8">
      <w:pPr>
        <w:pStyle w:val="a7"/>
        <w:spacing w:before="0" w:beforeAutospacing="0" w:after="0" w:afterAutospacing="0" w:line="580" w:lineRule="exact"/>
        <w:ind w:firstLine="64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</w:t>
      </w:r>
      <w:r>
        <w:rPr>
          <w:rFonts w:ascii="Times New Roman" w:eastAsia="方正黑体_GBK" w:hAnsi="Times New Roman"/>
          <w:sz w:val="32"/>
          <w:szCs w:val="32"/>
        </w:rPr>
        <w:t>、培育目标</w:t>
      </w:r>
    </w:p>
    <w:p w:rsidR="00861DEB" w:rsidRDefault="003870B8">
      <w:pPr>
        <w:pStyle w:val="a7"/>
        <w:spacing w:before="0" w:beforeAutospacing="0" w:after="0" w:afterAutospacing="0" w:line="58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年努力，到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年，培育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家产出规模大、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核心竞争力强、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发展前景广阔、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带动作用明显的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链主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实现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条重点产业链全覆盖，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其中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销售超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百亿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家，超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亿元企业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家。</w:t>
      </w:r>
    </w:p>
    <w:p w:rsidR="00861DEB" w:rsidRDefault="003870B8">
      <w:pPr>
        <w:pStyle w:val="a7"/>
        <w:spacing w:before="0" w:beforeAutospacing="0" w:after="0" w:afterAutospacing="0" w:line="580" w:lineRule="exact"/>
        <w:ind w:firstLine="645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三、认定标准</w:t>
      </w:r>
    </w:p>
    <w:p w:rsidR="00861DEB" w:rsidRDefault="003870B8">
      <w:pPr>
        <w:pStyle w:val="a7"/>
        <w:spacing w:before="0" w:beforeAutospacing="0" w:after="0" w:afterAutospacing="0" w:line="580" w:lineRule="exact"/>
        <w:ind w:firstLine="645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（一）链主企业，需同时满足以下条件：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专注于主业，在国内具有较高知名度和影响力，主导产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品的市场占有率在国内同行业中位居前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位。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具备一定的规模优势，年销售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收入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亿元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产业带动能力强，拥有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市内</w:t>
      </w:r>
      <w:r>
        <w:rPr>
          <w:rFonts w:ascii="Times New Roman" w:eastAsia="方正仿宋_GBK" w:hAnsi="Times New Roman" w:cs="Times New Roman"/>
          <w:sz w:val="32"/>
          <w:szCs w:val="32"/>
        </w:rPr>
        <w:t>产业链上下游协作配套企业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家左右。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具备较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>
        <w:rPr>
          <w:rFonts w:ascii="Times New Roman" w:eastAsia="方正仿宋_GBK" w:hAnsi="Times New Roman" w:cs="Times New Roman"/>
          <w:sz w:val="32"/>
          <w:szCs w:val="32"/>
        </w:rPr>
        <w:t>的自主创新能力，拥有省级以上研发机构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（含共建）</w:t>
      </w:r>
      <w:r>
        <w:rPr>
          <w:rFonts w:ascii="Times New Roman" w:eastAsia="方正仿宋_GBK" w:hAnsi="Times New Roman" w:cs="Times New Roman"/>
          <w:sz w:val="32"/>
          <w:szCs w:val="32"/>
        </w:rPr>
        <w:t>、自主品牌和发明专利，主导或参与制定相关领域技术标准。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具有较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强</w:t>
      </w:r>
      <w:r>
        <w:rPr>
          <w:rFonts w:ascii="Times New Roman" w:eastAsia="方正仿宋_GBK" w:hAnsi="Times New Roman" w:cs="Times New Roman"/>
          <w:sz w:val="32"/>
          <w:szCs w:val="32"/>
        </w:rPr>
        <w:t>成长性，经济效益好，近两年盈利能力超过行业企业平均水平。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（二）潜在链主企业，应达到以下条件之一：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新建</w:t>
      </w:r>
      <w:r>
        <w:rPr>
          <w:rFonts w:ascii="Times New Roman" w:eastAsia="方正仿宋_GBK" w:hAnsi="Times New Roman" w:cs="Times New Roman"/>
          <w:sz w:val="32"/>
          <w:szCs w:val="32"/>
        </w:rPr>
        <w:t>项目投资规模不低于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亿元，</w:t>
      </w: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前</w:t>
      </w:r>
      <w:r>
        <w:rPr>
          <w:rFonts w:ascii="Times New Roman" w:eastAsia="方正仿宋_GBK" w:hAnsi="Times New Roman" w:cs="Times New Roman"/>
          <w:sz w:val="32"/>
          <w:szCs w:val="32"/>
        </w:rPr>
        <w:t>能竣工投产，预计年销售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收入</w:t>
      </w:r>
      <w:r>
        <w:rPr>
          <w:rFonts w:ascii="Times New Roman" w:eastAsia="方正仿宋_GBK" w:hAnsi="Times New Roman" w:cs="Times New Roman"/>
          <w:sz w:val="32"/>
          <w:szCs w:val="32"/>
        </w:rPr>
        <w:t>不低于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亿元。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企业销售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收入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亿元以上，在市内产业链中排名前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位。具有较强的上下游带动作用，拥有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市内</w:t>
      </w:r>
      <w:r>
        <w:rPr>
          <w:rFonts w:ascii="Times New Roman" w:eastAsia="方正仿宋_GBK" w:hAnsi="Times New Roman" w:cs="Times New Roman"/>
          <w:sz w:val="32"/>
          <w:szCs w:val="32"/>
        </w:rPr>
        <w:t>产业链协作配套企业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家以上。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已经在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股上市的企业。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/>
          <w:sz w:val="32"/>
          <w:szCs w:val="32"/>
        </w:rPr>
        <w:t>获得省级以上重要荣誉的，包括获批国家级制造业单项冠军以及省级以上研发机构、首台套装备、智能车间、专精特新小巨人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、瞪羚企业</w:t>
      </w:r>
      <w:r>
        <w:rPr>
          <w:rFonts w:ascii="Times New Roman" w:eastAsia="方正仿宋_GBK" w:hAnsi="Times New Roman" w:cs="Times New Roman"/>
          <w:sz w:val="32"/>
          <w:szCs w:val="32"/>
        </w:rPr>
        <w:t>等称号的企业。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四、主要任务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sz w:val="32"/>
          <w:szCs w:val="32"/>
        </w:rPr>
        <w:t>一</w:t>
      </w:r>
      <w:r>
        <w:rPr>
          <w:rFonts w:ascii="Times New Roman" w:eastAsia="方正楷体_GBK" w:hAnsi="Times New Roman" w:cs="Times New Roman"/>
          <w:sz w:val="32"/>
          <w:szCs w:val="32"/>
        </w:rPr>
        <w:t>）推动</w:t>
      </w:r>
      <w:r>
        <w:rPr>
          <w:rFonts w:ascii="Times New Roman" w:eastAsia="方正楷体_GBK" w:hAnsi="Times New Roman" w:cs="Times New Roman"/>
          <w:sz w:val="32"/>
          <w:szCs w:val="32"/>
        </w:rPr>
        <w:t>产业</w:t>
      </w:r>
      <w:r>
        <w:rPr>
          <w:rFonts w:ascii="Times New Roman" w:eastAsia="方正楷体_GBK" w:hAnsi="Times New Roman" w:cs="Times New Roman"/>
          <w:sz w:val="32"/>
          <w:szCs w:val="32"/>
        </w:rPr>
        <w:t>链招商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围绕产业链招商图谱，聚焦产业链龙头企业，集中力量招引一批龙头型、旗舰型、基地型等具备链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主特征的重大产业链项目。发挥链主企业引领作用，吸引核心配套企业落户，形成上下游协作配套的产业生态。每年引进投资超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亿元项目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个，核心配套企业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户。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</w:t>
      </w:r>
      <w:r>
        <w:rPr>
          <w:rFonts w:ascii="Times New Roman" w:eastAsia="方正楷体_GBK" w:hAnsi="Times New Roman" w:cs="Times New Roman"/>
          <w:sz w:val="32"/>
          <w:szCs w:val="32"/>
        </w:rPr>
        <w:t>加快项目建设。</w:t>
      </w:r>
      <w:r>
        <w:rPr>
          <w:rFonts w:ascii="Times New Roman" w:eastAsia="方正仿宋_GBK" w:hAnsi="Times New Roman" w:cs="Times New Roman"/>
          <w:sz w:val="32"/>
          <w:szCs w:val="32"/>
        </w:rPr>
        <w:t>推进全市重大产业项目和重大技术改造项目建设，建立健全季度观摩和领导挂钩联系重大项目机制，加强项目帮办服务和考核激励，促进项目早投产、早竣工、早达效，每年新增销售超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亿元企业</w:t>
      </w:r>
      <w:r>
        <w:rPr>
          <w:rFonts w:ascii="Times New Roman" w:eastAsia="方正仿宋_GBK" w:hAnsi="Times New Roman" w:cs="Times New Roman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户左右。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</w:t>
      </w:r>
      <w:r>
        <w:rPr>
          <w:rFonts w:ascii="Times New Roman" w:eastAsia="方正楷体_GBK" w:hAnsi="Times New Roman" w:cs="Times New Roman"/>
          <w:sz w:val="32"/>
          <w:szCs w:val="32"/>
        </w:rPr>
        <w:t>促进</w:t>
      </w:r>
      <w:r>
        <w:rPr>
          <w:rFonts w:ascii="Times New Roman" w:eastAsia="方正楷体_GBK" w:hAnsi="Times New Roman" w:cs="Times New Roman"/>
          <w:sz w:val="32"/>
          <w:szCs w:val="32"/>
        </w:rPr>
        <w:t>并购重组。</w:t>
      </w:r>
      <w:r>
        <w:rPr>
          <w:rFonts w:ascii="Times New Roman" w:eastAsia="方正仿宋_GBK" w:hAnsi="Times New Roman" w:cs="Times New Roman"/>
          <w:sz w:val="32"/>
          <w:szCs w:val="32"/>
        </w:rPr>
        <w:t>支持企业通过兼并、收购、联合、参股等多种形式，开展产业链整合和跨行业、跨地区兼并重组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实现裂变发展，每年实施并购额</w:t>
      </w:r>
      <w:r>
        <w:rPr>
          <w:rFonts w:ascii="Times New Roman" w:eastAsia="方正仿宋_GBK" w:hAnsi="Times New Roman" w:cs="Times New Roman"/>
          <w:sz w:val="32"/>
          <w:szCs w:val="32"/>
        </w:rPr>
        <w:t>3000</w:t>
      </w:r>
      <w:r>
        <w:rPr>
          <w:rFonts w:ascii="Times New Roman" w:eastAsia="方正仿宋_GBK" w:hAnsi="Times New Roman" w:cs="Times New Roman"/>
          <w:sz w:val="32"/>
          <w:szCs w:val="32"/>
        </w:rPr>
        <w:t>万元以上兼并重组项目</w:t>
      </w:r>
      <w:r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个以上。</w:t>
      </w:r>
    </w:p>
    <w:p w:rsidR="00861DEB" w:rsidRDefault="003870B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</w:t>
      </w:r>
      <w:r>
        <w:rPr>
          <w:rFonts w:ascii="Times New Roman" w:eastAsia="方正楷体_GBK" w:hAnsi="Times New Roman" w:cs="Times New Roman"/>
          <w:sz w:val="32"/>
          <w:szCs w:val="32"/>
        </w:rPr>
        <w:t>提升创新能力。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企业与科研院所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高等院校形成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共同参与、利益共享、风险共担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的技术创新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合作机制，加快构建龙头企业牵头、高校院所支撑、各创新主体相互协同的创新联合体，实现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条重点产业链全覆盖。加大新产品新技术开发力度，加快科研成果转化，每年转化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项以上。支持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企业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省级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以上企业技术中心等高水平研发机构和公共服务平台。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（五）推动企业上市。</w:t>
      </w:r>
      <w:r>
        <w:rPr>
          <w:rFonts w:ascii="Times New Roman" w:eastAsia="方正仿宋_GBK" w:hAnsi="Times New Roman" w:cs="Times New Roman"/>
          <w:sz w:val="32"/>
          <w:szCs w:val="32"/>
        </w:rPr>
        <w:t>加大企业上市培育力度，建立企业上市培育库，开辟上市融资绿色通道，优化政策支持体系，加强全方位帮办推进，每年实现</w:t>
      </w:r>
      <w:r>
        <w:rPr>
          <w:rFonts w:ascii="Times New Roman" w:eastAsia="方正仿宋_GBK" w:hAnsi="Times New Roman" w:cs="Times New Roman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股上市企业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户以上。</w:t>
      </w:r>
    </w:p>
    <w:p w:rsidR="00861DEB" w:rsidRDefault="003870B8">
      <w:pPr>
        <w:spacing w:line="5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（六）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建设产业链共同体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支持链主企业牵头组建产业链共同体，整合产业链上下游生产、供应等各个环节，建设产业链协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作平台，开展协同采购、制造、销售和配送，提高产业链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协调性</w:t>
      </w:r>
      <w:r>
        <w:rPr>
          <w:rFonts w:ascii="Times New Roman" w:eastAsia="方正仿宋_GBK" w:hAnsi="Times New Roman" w:cs="Times New Roman"/>
          <w:sz w:val="32"/>
          <w:szCs w:val="32"/>
        </w:rPr>
        <w:t>和供应链协同水平，每年搭建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个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r>
        <w:rPr>
          <w:rFonts w:ascii="Times New Roman" w:eastAsia="方正仿宋_GBK" w:hAnsi="Times New Roman" w:cs="Times New Roman"/>
          <w:sz w:val="32"/>
          <w:szCs w:val="32"/>
        </w:rPr>
        <w:t>产业链共同体。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五、支持政策</w:t>
      </w:r>
    </w:p>
    <w:p w:rsidR="00861DEB" w:rsidRDefault="003870B8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在落实“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5321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”工程等各项政策基础上，给予链主企业如下支持政策。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优化政策保障机制</w:t>
      </w:r>
      <w:r>
        <w:rPr>
          <w:rFonts w:ascii="Times New Roman" w:eastAsia="方正楷体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结合各产业链特点和企业需求，由企业所在县区、园区，研究制定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 w:cs="Times New Roman"/>
          <w:sz w:val="32"/>
          <w:szCs w:val="32"/>
        </w:rPr>
        <w:t>措施，建立精准化、个性化政策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鼓励</w:t>
      </w:r>
      <w:r>
        <w:rPr>
          <w:rFonts w:ascii="Times New Roman" w:eastAsia="方正仿宋_GBK" w:hAnsi="Times New Roman" w:cs="Times New Roman"/>
          <w:sz w:val="32"/>
          <w:szCs w:val="32"/>
        </w:rPr>
        <w:t>机制。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（二）鼓励延伸产业链条。</w:t>
      </w:r>
      <w:r>
        <w:rPr>
          <w:rFonts w:ascii="Times New Roman" w:eastAsia="方正仿宋_GBK" w:hAnsi="Times New Roman" w:cs="Times New Roman"/>
          <w:sz w:val="32"/>
          <w:szCs w:val="32"/>
        </w:rPr>
        <w:t>链主企业招引建设强链补链延链项目，享受项目所在地招商引资奖励政策。鼓励链主企业对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我市</w:t>
      </w:r>
      <w:r>
        <w:rPr>
          <w:rFonts w:ascii="Times New Roman" w:eastAsia="方正仿宋_GBK" w:hAnsi="Times New Roman" w:cs="Times New Roman"/>
          <w:sz w:val="32"/>
          <w:szCs w:val="32"/>
        </w:rPr>
        <w:t>上下游配套企业进行重组、改造，增强产业竞争优势，对兼并重组产生的资产评估、财务审计等费用，给予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不超过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补助，单个项目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最高</w:t>
      </w:r>
      <w:r>
        <w:rPr>
          <w:rFonts w:ascii="Times New Roman" w:eastAsia="方正仿宋_GBK" w:hAnsi="Times New Roman" w:cs="Times New Roman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（三）加大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基金鼓励</w:t>
      </w:r>
      <w:r>
        <w:rPr>
          <w:rFonts w:ascii="Times New Roman" w:eastAsia="方正楷体_GBK" w:hAnsi="Times New Roman" w:cs="Times New Roman"/>
          <w:sz w:val="32"/>
          <w:szCs w:val="32"/>
        </w:rPr>
        <w:t>力度。</w:t>
      </w:r>
      <w:r>
        <w:rPr>
          <w:rFonts w:ascii="Times New Roman" w:eastAsia="方正仿宋_GBK" w:hAnsi="Times New Roman" w:cs="Times New Roman"/>
          <w:sz w:val="32"/>
          <w:szCs w:val="32"/>
        </w:rPr>
        <w:t>宿迁产业发展基金以股权投资方式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加大</w:t>
      </w:r>
      <w:r>
        <w:rPr>
          <w:rFonts w:ascii="Times New Roman" w:eastAsia="方正仿宋_GBK" w:hAnsi="Times New Roman" w:cs="Times New Roman"/>
          <w:sz w:val="32"/>
          <w:szCs w:val="32"/>
        </w:rPr>
        <w:t>对链主企业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鼓励力度</w:t>
      </w:r>
      <w:r>
        <w:rPr>
          <w:rFonts w:ascii="Times New Roman" w:eastAsia="方正仿宋_GBK" w:hAnsi="Times New Roman" w:cs="Times New Roman"/>
          <w:sz w:val="32"/>
          <w:szCs w:val="32"/>
        </w:rPr>
        <w:t>，单个企业累计投资额不超过企业总股权</w:t>
      </w:r>
      <w:r>
        <w:rPr>
          <w:rFonts w:ascii="Times New Roman" w:eastAsia="方正仿宋_GBK" w:hAnsi="Times New Roman" w:cs="Times New Roman"/>
          <w:sz w:val="32"/>
          <w:szCs w:val="32"/>
        </w:rPr>
        <w:t>30%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（四）支持建设公共服务平台。</w:t>
      </w:r>
      <w:r>
        <w:rPr>
          <w:rFonts w:ascii="Times New Roman" w:eastAsia="方正仿宋_GBK" w:hAnsi="Times New Roman" w:cs="Times New Roman"/>
          <w:sz w:val="32"/>
          <w:szCs w:val="32"/>
        </w:rPr>
        <w:t>链主企业建设有利于带动产业发展、提升产业发展水平的创新联合体、产业链共同</w:t>
      </w:r>
      <w:r>
        <w:rPr>
          <w:rFonts w:ascii="Times New Roman" w:eastAsia="方正仿宋_GBK" w:hAnsi="Times New Roman" w:cs="Times New Roman"/>
          <w:sz w:val="32"/>
          <w:szCs w:val="32"/>
        </w:rPr>
        <w:t>体、产业研究院等公共服务平台，支持创建省级以上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示范</w:t>
      </w:r>
      <w:r>
        <w:rPr>
          <w:rFonts w:ascii="Times New Roman" w:eastAsia="方正仿宋_GBK" w:hAnsi="Times New Roman" w:cs="Times New Roman"/>
          <w:sz w:val="32"/>
          <w:szCs w:val="32"/>
        </w:rPr>
        <w:t>称号，争取政策支持。</w:t>
      </w:r>
    </w:p>
    <w:p w:rsidR="00861DEB" w:rsidRDefault="003870B8">
      <w:pPr>
        <w:spacing w:line="58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（五）支持全方位对外合作。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支持链</w:t>
      </w:r>
      <w:r>
        <w:rPr>
          <w:rFonts w:ascii="Times New Roman" w:eastAsia="方正仿宋_GBK" w:hAnsi="Times New Roman" w:cs="Times New Roman"/>
          <w:sz w:val="32"/>
          <w:szCs w:val="32"/>
        </w:rPr>
        <w:t>主企业</w:t>
      </w:r>
      <w:r>
        <w:rPr>
          <w:rFonts w:ascii="Times New Roman" w:eastAsia="方正仿宋_GBK" w:hAnsi="Times New Roman" w:cs="Times New Roman"/>
          <w:color w:val="191919"/>
          <w:sz w:val="32"/>
          <w:szCs w:val="32"/>
          <w:shd w:val="clear" w:color="auto" w:fill="FFFFFF"/>
        </w:rPr>
        <w:t>通过市场化方式</w:t>
      </w:r>
      <w:r>
        <w:rPr>
          <w:rFonts w:ascii="Times New Roman" w:eastAsia="方正仿宋_GBK" w:hAnsi="Times New Roman" w:cs="Times New Roman"/>
          <w:color w:val="191919"/>
          <w:sz w:val="32"/>
          <w:szCs w:val="32"/>
          <w:shd w:val="clear" w:color="auto" w:fill="FFFFFF"/>
        </w:rPr>
        <w:t>在我市</w:t>
      </w:r>
      <w:r>
        <w:rPr>
          <w:rFonts w:ascii="Times New Roman" w:eastAsia="方正仿宋_GBK" w:hAnsi="Times New Roman" w:cs="Times New Roman"/>
          <w:sz w:val="32"/>
          <w:szCs w:val="32"/>
        </w:rPr>
        <w:t>举办全国性高端发展论坛，组织开展供需对接活动，联合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成立产业链联盟，与国际国内知名战略管理咨询机构合作。</w:t>
      </w:r>
    </w:p>
    <w:p w:rsidR="00861DEB" w:rsidRDefault="003870B8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六、保障措施</w:t>
      </w:r>
    </w:p>
    <w:p w:rsidR="00861DEB" w:rsidRDefault="003870B8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楷体_GBK" w:hAnsi="Times New Roman"/>
          <w:kern w:val="2"/>
          <w:sz w:val="32"/>
          <w:szCs w:val="32"/>
        </w:rPr>
        <w:t>（一）强化组织领导。</w:t>
      </w:r>
      <w:r>
        <w:rPr>
          <w:rFonts w:ascii="Times New Roman" w:eastAsia="方正仿宋_GBK" w:hAnsi="Times New Roman"/>
          <w:sz w:val="32"/>
          <w:szCs w:val="32"/>
        </w:rPr>
        <w:t>依托市工业经济高质量发展领导小组和</w:t>
      </w:r>
      <w:r>
        <w:rPr>
          <w:rFonts w:ascii="Times New Roman" w:eastAsia="方正仿宋_GBK" w:hAnsi="Times New Roman"/>
          <w:kern w:val="2"/>
          <w:sz w:val="32"/>
          <w:szCs w:val="32"/>
        </w:rPr>
        <w:t>市领导挂钩联系重点产业链制度，统筹负责链主企业培育工作，加强定期调度，研究解决重大问题。</w:t>
      </w:r>
    </w:p>
    <w:p w:rsidR="00861DEB" w:rsidRDefault="003870B8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楷体_GBK" w:hAnsi="Times New Roman"/>
          <w:kern w:val="2"/>
          <w:sz w:val="32"/>
          <w:szCs w:val="32"/>
        </w:rPr>
        <w:t>（二）强化帮办服务。</w:t>
      </w:r>
      <w:r>
        <w:rPr>
          <w:rFonts w:ascii="Times New Roman" w:eastAsia="方正仿宋_GBK" w:hAnsi="Times New Roman"/>
          <w:kern w:val="2"/>
          <w:sz w:val="32"/>
          <w:szCs w:val="32"/>
        </w:rPr>
        <w:t>为链主企业提供专属服务，产业链挂钩联系市领导和培育专班及时帮助企业解决各类问题，保障用地、用工、能耗、水电气热等全要素需求；链主企业经申请，可列席参加全市重要经济会议；支持链主企业申报国家、省级项目资金；帮助链主企业引进、培育高素质人才队伍。</w:t>
      </w:r>
    </w:p>
    <w:p w:rsidR="00861DEB" w:rsidRDefault="003870B8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楷体_GBK" w:hAnsi="Times New Roman"/>
          <w:kern w:val="2"/>
          <w:sz w:val="32"/>
          <w:szCs w:val="32"/>
        </w:rPr>
        <w:t>（三）强化动态管理。</w:t>
      </w:r>
      <w:r>
        <w:rPr>
          <w:rFonts w:ascii="Times New Roman" w:eastAsia="方正仿宋_GBK" w:hAnsi="Times New Roman"/>
          <w:kern w:val="2"/>
          <w:sz w:val="32"/>
          <w:szCs w:val="32"/>
        </w:rPr>
        <w:t>建立链主企业培育库，定期汇总分析培育指标完成情况，对达到链主企业认定标准的，市工业经济高质量发展领导小组办公室每年召开一次新闻发布会，发布链主企业名单。</w:t>
      </w:r>
    </w:p>
    <w:p w:rsidR="00861DEB" w:rsidRDefault="003870B8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奖补资金的分担：县域企业由市、县财政按照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承担，市区企业由市、区财政按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承担；奖补资金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列支渠道由财政统筹安排。</w:t>
      </w:r>
    </w:p>
    <w:p w:rsidR="00861DEB" w:rsidRDefault="003870B8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hAnsi="方正仿宋_GBK" w:cs="方正仿宋_GBK"/>
          <w:kern w:val="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本行动计划有效期为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2022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kern w:val="2"/>
          <w:sz w:val="32"/>
          <w:szCs w:val="32"/>
        </w:rPr>
        <w:t>日。</w:t>
      </w:r>
    </w:p>
    <w:p w:rsidR="00861DEB" w:rsidRDefault="00861DEB">
      <w:pPr>
        <w:pStyle w:val="a9"/>
        <w:spacing w:line="860" w:lineRule="exact"/>
        <w:ind w:right="0"/>
        <w:jc w:val="both"/>
        <w:rPr>
          <w:rFonts w:ascii="Times New Roman" w:eastAsia="方正仿宋_GBK" w:hAnsi="Times New Roman"/>
          <w:sz w:val="18"/>
          <w:szCs w:val="18"/>
        </w:rPr>
      </w:pPr>
    </w:p>
    <w:p w:rsidR="00861DEB" w:rsidRDefault="003870B8">
      <w:pPr>
        <w:spacing w:line="580" w:lineRule="exact"/>
        <w:ind w:firstLineChars="100" w:firstLine="210"/>
        <w:rPr>
          <w:rFonts w:ascii="Times New Roman" w:eastAsia="方正仿宋_GBK" w:hAnsi="Times New Roman"/>
          <w:spacing w:val="-2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609590" cy="2540"/>
                <wp:effectExtent l="0" t="7620" r="13970" b="127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2.45pt;height:0.2pt;width:441.7pt;z-index:251658240;mso-width-relative:page;mso-height-relative:page;" filled="f" stroked="t" coordsize="21600,21600" o:gfxdata="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YYt+NUAAAAEAQAA&#10;DwAAAAAAAAABACAAAAAiAAAAZHJzL2Rvd25yZXYueG1sUEsBAhQAFAAAAAgAh07iQOUlwdnjAQAA&#10;qAMAAA4AAAAAAAAAAQAgAAAAJAEAAGRycy9lMm9Eb2MueG1sUEsFBgAAAAAGAAYAWQEAAHkFAAAA&#10;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imes New Roman" w:eastAsia="方正仿宋_GBK" w:hAnsi="Times New Roman"/>
          <w:sz w:val="28"/>
          <w:szCs w:val="28"/>
        </w:rPr>
        <w:t>抄送：</w:t>
      </w:r>
      <w:r>
        <w:rPr>
          <w:rFonts w:ascii="Times New Roman" w:eastAsia="方正仿宋_GBK" w:hAnsi="Times New Roman"/>
          <w:spacing w:val="-2"/>
          <w:sz w:val="28"/>
          <w:szCs w:val="28"/>
        </w:rPr>
        <w:t>市</w:t>
      </w:r>
      <w:r>
        <w:rPr>
          <w:rFonts w:ascii="Times New Roman" w:eastAsia="方正仿宋_GBK" w:hAnsi="Times New Roman"/>
          <w:spacing w:val="-4"/>
          <w:sz w:val="28"/>
          <w:szCs w:val="28"/>
        </w:rPr>
        <w:t>委各部委办，市人大常委会办公室，市政协办公室，市监委，</w:t>
      </w:r>
    </w:p>
    <w:p w:rsidR="00861DEB" w:rsidRDefault="003870B8">
      <w:pPr>
        <w:spacing w:line="580" w:lineRule="exact"/>
        <w:ind w:firstLineChars="390" w:firstLine="1076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pacing w:val="-2"/>
          <w:sz w:val="28"/>
          <w:szCs w:val="28"/>
        </w:rPr>
        <w:t>市法院，</w:t>
      </w:r>
      <w:r>
        <w:rPr>
          <w:rFonts w:ascii="Times New Roman" w:eastAsia="方正仿宋_GBK" w:hAnsi="Times New Roman"/>
          <w:sz w:val="28"/>
          <w:szCs w:val="28"/>
        </w:rPr>
        <w:t>市检察院，宿迁军分区。</w:t>
      </w:r>
    </w:p>
    <w:p w:rsidR="00861DEB" w:rsidRDefault="003870B8">
      <w:pPr>
        <w:spacing w:line="580" w:lineRule="exact"/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548005</wp:posOffset>
                </wp:positionV>
                <wp:extent cx="1295400" cy="609600"/>
                <wp:effectExtent l="4445" t="4445" r="1079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1DEB" w:rsidRDefault="00861DEB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64.65pt;margin-top:43.15pt;height:48pt;width:102pt;z-index:251662336;mso-width-relative:page;mso-height-relative:page;" fillcolor="#FFFFFF" filled="t" stroked="t" coordsize="21600,21600" o:gfxdata="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Fi&#10;k2/YAAAACgEAAA8AAAAAAAAAAQAgAAAAIgAAAGRycy9kb3ducmV2LnhtbFBLAQIUABQAAAAIAIdO&#10;4kATX2r56gEAAOgDAAAOAAAAAAAAAAEAIAAAACcBAABkcnMvZTJvRG9jLnhtbFBLBQYAAAAABgAG&#10;AFkBAACD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432435</wp:posOffset>
                </wp:positionV>
                <wp:extent cx="5611495" cy="2540"/>
                <wp:effectExtent l="0" t="7620" r="12065" b="127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34.05pt;height:0.2pt;width:441.85pt;z-index:251659264;mso-width-relative:page;mso-height-relative:page;" filled="f" stroked="t" coordsize="21600,21600" o:gfxdata="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F+321gAAAAYB&#10;AAAPAAAAAAAAAAEAIAAAACIAAABkcnMvZG93bnJldi54bWxQSwECFAAUAAAACACHTuJAL1ngoOQB&#10;AACoAwAADgAAAAAAAAABACAAAAAlAQAAZHJzL2Uyb0RvYy54bWxQSwUGAAAAAAYABgBZAQAAewUA&#10;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697230</wp:posOffset>
                </wp:positionV>
                <wp:extent cx="1329055" cy="669925"/>
                <wp:effectExtent l="7620" t="0" r="1968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05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67.15pt;margin-top:54.9pt;height:52.75pt;width:104.65pt;z-index:251660288;mso-width-relative:page;mso-height-relative:page;" fillcolor="#FFFFFF" filled="t" stroked="t" coordsize="21600,21600" o:gfxdata="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woHwfZAAAACwEAAA8A&#10;AAAAAAAAAQAgAAAAIgAAAGRycy9kb3ducmV2LnhtbFBLAQIUABQAAAAIAIdO4kAl4xf83QEAANED&#10;AAAOAAAAAAAAAAEAIAAAACgBAABkcnMvZTJvRG9jLnhtbFBLBQYAAAAABgAGAFkBAAB3BQAAAAA=&#10;">
                <v:fill on="t" focussize="0,0"/>
                <v:stroke weight="1.25pt" color="#FFFFFF" joinstyle="miter"/>
                <v:imagedata o:title=""/>
                <o:lock v:ext="edit" aspectratio="f"/>
                <w10:anchorlock/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15940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0pt;margin-top:4pt;height:0.2pt;width:442.2pt;z-index:251661312;mso-width-relative:page;mso-height-relative:page;" filled="f" stroked="t" coordsize="21600,21600" o:gfxdata="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Z65SfTAAAABAEAAA8AAAAA&#10;AAAAAQAgAAAAIgAAAGRycy9kb3ducmV2LnhtbFBLAQIUABQAAAAIAIdO4kBmBN6d4AEAAKcDAAAO&#10;AAAAAAAAAAEAIAAAACI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ascii="Times New Roman" w:eastAsia="方正仿宋_GBK" w:hAnsi="Times New Roman"/>
          <w:sz w:val="28"/>
          <w:szCs w:val="28"/>
        </w:rPr>
        <w:t>宿迁市人民政府办公室</w:t>
      </w:r>
      <w:r>
        <w:rPr>
          <w:rFonts w:ascii="Times New Roman" w:eastAsia="方正仿宋_GBK" w:hAnsi="Times New Roman"/>
          <w:sz w:val="28"/>
          <w:szCs w:val="28"/>
        </w:rPr>
        <w:t xml:space="preserve">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</w:t>
      </w:r>
      <w:r>
        <w:rPr>
          <w:rFonts w:ascii="Times New Roman" w:eastAsia="方正仿宋_GBK" w:hAnsi="Times New Roman"/>
          <w:sz w:val="28"/>
          <w:szCs w:val="28"/>
        </w:rPr>
        <w:t xml:space="preserve">             2022</w:t>
      </w:r>
      <w:r>
        <w:rPr>
          <w:rFonts w:ascii="Times New Roman" w:eastAsia="方正仿宋_GBK" w:hAnsi="Times New Roman"/>
          <w:sz w:val="28"/>
          <w:szCs w:val="28"/>
        </w:rPr>
        <w:t>年</w:t>
      </w:r>
      <w:r>
        <w:rPr>
          <w:rFonts w:ascii="Times New Roman" w:eastAsia="方正仿宋_GBK" w:hAnsi="Times New Roman"/>
          <w:sz w:val="28"/>
          <w:szCs w:val="28"/>
        </w:rPr>
        <w:t>3</w:t>
      </w:r>
      <w:r>
        <w:rPr>
          <w:rFonts w:ascii="Times New Roman" w:eastAsia="方正仿宋_GBK" w:hAnsi="Times New Roman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sz w:val="28"/>
          <w:szCs w:val="28"/>
        </w:rPr>
        <w:t>23</w:t>
      </w:r>
      <w:r>
        <w:rPr>
          <w:rFonts w:ascii="Times New Roman" w:eastAsia="方正仿宋_GBK" w:hAnsi="Times New Roman"/>
          <w:sz w:val="28"/>
          <w:szCs w:val="28"/>
        </w:rPr>
        <w:t>日印发</w:t>
      </w:r>
      <w:bookmarkEnd w:id="0"/>
    </w:p>
    <w:sectPr w:rsidR="00861DEB">
      <w:pgSz w:w="11906" w:h="16838"/>
      <w:pgMar w:top="2098" w:right="1531" w:bottom="1928" w:left="1531" w:header="851" w:footer="147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B8" w:rsidRDefault="003870B8">
      <w:r>
        <w:separator/>
      </w:r>
    </w:p>
  </w:endnote>
  <w:endnote w:type="continuationSeparator" w:id="0">
    <w:p w:rsidR="003870B8" w:rsidRDefault="003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EB" w:rsidRDefault="003870B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1DEB" w:rsidRDefault="003870B8">
                          <w:pPr>
                            <w:pStyle w:val="a5"/>
                            <w:ind w:leftChars="150" w:left="315" w:rightChars="150" w:right="315"/>
                            <w:rPr>
                              <w:rFonts w:ascii="方正仿宋_GBK" w:eastAsia="方正仿宋_GBK" w:hAnsi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541E3">
                            <w:rPr>
                              <w:rFonts w:ascii="方正仿宋_GBK" w:eastAsia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61DEB" w:rsidRDefault="003870B8">
                    <w:pPr>
                      <w:pStyle w:val="a5"/>
                      <w:ind w:leftChars="150" w:left="315" w:rightChars="150" w:right="315"/>
                      <w:rPr>
                        <w:rFonts w:ascii="方正仿宋_GBK" w:eastAsia="方正仿宋_GBK" w:hAnsi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separate"/>
                    </w:r>
                    <w:r w:rsidR="001541E3">
                      <w:rPr>
                        <w:rFonts w:ascii="方正仿宋_GBK" w:eastAsia="方正仿宋_GBK" w:hAnsi="方正仿宋_GBK" w:cs="方正仿宋_GBK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B8" w:rsidRDefault="003870B8">
      <w:r>
        <w:separator/>
      </w:r>
    </w:p>
  </w:footnote>
  <w:footnote w:type="continuationSeparator" w:id="0">
    <w:p w:rsidR="003870B8" w:rsidRDefault="0038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453A"/>
    <w:rsid w:val="001541E3"/>
    <w:rsid w:val="003870B8"/>
    <w:rsid w:val="00861DEB"/>
    <w:rsid w:val="0C136506"/>
    <w:rsid w:val="13B15075"/>
    <w:rsid w:val="157B453A"/>
    <w:rsid w:val="16E25E91"/>
    <w:rsid w:val="174D249C"/>
    <w:rsid w:val="19117367"/>
    <w:rsid w:val="19351407"/>
    <w:rsid w:val="19EF3928"/>
    <w:rsid w:val="1E8930A5"/>
    <w:rsid w:val="2268652F"/>
    <w:rsid w:val="267A6903"/>
    <w:rsid w:val="284F1626"/>
    <w:rsid w:val="2D092D6F"/>
    <w:rsid w:val="2D621E38"/>
    <w:rsid w:val="2D6B26F2"/>
    <w:rsid w:val="2DC35193"/>
    <w:rsid w:val="2EAE3C5E"/>
    <w:rsid w:val="31405A07"/>
    <w:rsid w:val="32110DFE"/>
    <w:rsid w:val="34F500AA"/>
    <w:rsid w:val="364164F7"/>
    <w:rsid w:val="39096AFA"/>
    <w:rsid w:val="3B777FA6"/>
    <w:rsid w:val="3C1414F2"/>
    <w:rsid w:val="3C43707C"/>
    <w:rsid w:val="3C9D06EE"/>
    <w:rsid w:val="3EBA31FA"/>
    <w:rsid w:val="3EFB7774"/>
    <w:rsid w:val="4428442C"/>
    <w:rsid w:val="487E2C55"/>
    <w:rsid w:val="48B5324C"/>
    <w:rsid w:val="49AB3EC6"/>
    <w:rsid w:val="4BB10DFC"/>
    <w:rsid w:val="4BE660E2"/>
    <w:rsid w:val="4DC211E1"/>
    <w:rsid w:val="4DD05A48"/>
    <w:rsid w:val="4F1C73B2"/>
    <w:rsid w:val="503805B4"/>
    <w:rsid w:val="527C6137"/>
    <w:rsid w:val="53591FD4"/>
    <w:rsid w:val="558F76E6"/>
    <w:rsid w:val="56083AE1"/>
    <w:rsid w:val="562E2E9B"/>
    <w:rsid w:val="5B1909C7"/>
    <w:rsid w:val="5C090F60"/>
    <w:rsid w:val="5C8245DD"/>
    <w:rsid w:val="5EEE2AA9"/>
    <w:rsid w:val="5F4E1617"/>
    <w:rsid w:val="624807C9"/>
    <w:rsid w:val="68300A5B"/>
    <w:rsid w:val="68621835"/>
    <w:rsid w:val="6EAE0FCF"/>
    <w:rsid w:val="6F4951BD"/>
    <w:rsid w:val="7207139C"/>
    <w:rsid w:val="72257453"/>
    <w:rsid w:val="73D60DE5"/>
    <w:rsid w:val="75371D1E"/>
    <w:rsid w:val="77887B25"/>
    <w:rsid w:val="78AC4132"/>
    <w:rsid w:val="78C40AEB"/>
    <w:rsid w:val="7A98733C"/>
    <w:rsid w:val="7B772B2F"/>
    <w:rsid w:val="7EB16978"/>
    <w:rsid w:val="7F6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BodyText1I"/>
    <w:qFormat/>
    <w:pPr>
      <w:ind w:firstLineChars="200" w:firstLine="420"/>
    </w:pPr>
  </w:style>
  <w:style w:type="paragraph" w:customStyle="1" w:styleId="BodyTextIndent">
    <w:name w:val="BodyTextIndent"/>
    <w:basedOn w:val="a"/>
    <w:next w:val="NormalIndent"/>
    <w:qFormat/>
    <w:pPr>
      <w:spacing w:after="120"/>
      <w:ind w:leftChars="200" w:left="420"/>
      <w:textAlignment w:val="baseline"/>
    </w:pPr>
    <w:rPr>
      <w:rFonts w:ascii="Calibri" w:eastAsia="宋体" w:hAnsi="Calibri" w:cs="Times New Roman"/>
    </w:rPr>
  </w:style>
  <w:style w:type="paragraph" w:customStyle="1" w:styleId="NormalIndent">
    <w:name w:val="NormalIndent"/>
    <w:basedOn w:val="a"/>
    <w:qFormat/>
    <w:pPr>
      <w:ind w:firstLineChars="200" w:firstLine="420"/>
      <w:textAlignment w:val="baseline"/>
    </w:pPr>
    <w:rPr>
      <w:rFonts w:ascii="Calibri" w:eastAsia="仿宋" w:hAnsi="Calibri" w:cs="Times New Roman"/>
      <w:sz w:val="32"/>
    </w:rPr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next w:val="a"/>
    <w:qFormat/>
    <w:pPr>
      <w:spacing w:after="120"/>
      <w:textAlignment w:val="baseline"/>
    </w:pPr>
  </w:style>
  <w:style w:type="paragraph" w:styleId="a3">
    <w:name w:val="Body Text"/>
    <w:basedOn w:val="a"/>
    <w:next w:val="a"/>
    <w:qFormat/>
    <w:pPr>
      <w:ind w:left="140"/>
    </w:pPr>
    <w:rPr>
      <w:rFonts w:ascii="宋体" w:hAnsi="宋体"/>
      <w:sz w:val="24"/>
    </w:rPr>
  </w:style>
  <w:style w:type="paragraph" w:styleId="a4">
    <w:name w:val="Body Text Indent"/>
    <w:basedOn w:val="a"/>
    <w:next w:val="a"/>
    <w:qFormat/>
    <w:pPr>
      <w:ind w:firstLineChars="171" w:firstLine="171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4"/>
    <w:uiPriority w:val="10"/>
    <w:qFormat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customStyle="1" w:styleId="a9">
    <w:name w:val="线型"/>
    <w:basedOn w:val="a"/>
    <w:qFormat/>
    <w:pPr>
      <w:autoSpaceDE w:val="0"/>
      <w:autoSpaceDN w:val="0"/>
      <w:ind w:right="357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1I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BodyText1I"/>
    <w:qFormat/>
    <w:pPr>
      <w:ind w:firstLineChars="200" w:firstLine="420"/>
    </w:pPr>
  </w:style>
  <w:style w:type="paragraph" w:customStyle="1" w:styleId="BodyTextIndent">
    <w:name w:val="BodyTextIndent"/>
    <w:basedOn w:val="a"/>
    <w:next w:val="NormalIndent"/>
    <w:qFormat/>
    <w:pPr>
      <w:spacing w:after="120"/>
      <w:ind w:leftChars="200" w:left="420"/>
      <w:textAlignment w:val="baseline"/>
    </w:pPr>
    <w:rPr>
      <w:rFonts w:ascii="Calibri" w:eastAsia="宋体" w:hAnsi="Calibri" w:cs="Times New Roman"/>
    </w:rPr>
  </w:style>
  <w:style w:type="paragraph" w:customStyle="1" w:styleId="NormalIndent">
    <w:name w:val="NormalIndent"/>
    <w:basedOn w:val="a"/>
    <w:qFormat/>
    <w:pPr>
      <w:ind w:firstLineChars="200" w:firstLine="420"/>
      <w:textAlignment w:val="baseline"/>
    </w:pPr>
    <w:rPr>
      <w:rFonts w:ascii="Calibri" w:eastAsia="仿宋" w:hAnsi="Calibri" w:cs="Times New Roman"/>
      <w:sz w:val="32"/>
    </w:rPr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next w:val="a"/>
    <w:qFormat/>
    <w:pPr>
      <w:spacing w:after="120"/>
      <w:textAlignment w:val="baseline"/>
    </w:pPr>
  </w:style>
  <w:style w:type="paragraph" w:styleId="a3">
    <w:name w:val="Body Text"/>
    <w:basedOn w:val="a"/>
    <w:next w:val="a"/>
    <w:qFormat/>
    <w:pPr>
      <w:ind w:left="140"/>
    </w:pPr>
    <w:rPr>
      <w:rFonts w:ascii="宋体" w:hAnsi="宋体"/>
      <w:sz w:val="24"/>
    </w:rPr>
  </w:style>
  <w:style w:type="paragraph" w:styleId="a4">
    <w:name w:val="Body Text Indent"/>
    <w:basedOn w:val="a"/>
    <w:next w:val="a"/>
    <w:qFormat/>
    <w:pPr>
      <w:ind w:firstLineChars="171" w:firstLine="171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4"/>
    <w:uiPriority w:val="10"/>
    <w:qFormat/>
    <w:pPr>
      <w:ind w:leftChars="200" w:left="640"/>
      <w:outlineLvl w:val="0"/>
    </w:pPr>
    <w:rPr>
      <w:rFonts w:ascii="Arial" w:eastAsia="仿宋_GB2312" w:hAnsi="Arial"/>
      <w:b/>
      <w:sz w:val="32"/>
    </w:rPr>
  </w:style>
  <w:style w:type="paragraph" w:customStyle="1" w:styleId="a9">
    <w:name w:val="线型"/>
    <w:basedOn w:val="a"/>
    <w:qFormat/>
    <w:pPr>
      <w:autoSpaceDE w:val="0"/>
      <w:autoSpaceDN w:val="0"/>
      <w:ind w:right="357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2022-03-23T08:56:00Z</cp:lastPrinted>
  <dcterms:created xsi:type="dcterms:W3CDTF">2022-04-08T03:10:00Z</dcterms:created>
  <dcterms:modified xsi:type="dcterms:W3CDTF">2022-04-08T03:10:00Z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168F2D9BED144384A3C583358F655189</vt:lpwstr>
  </property>
</Properties>
</file>